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bookmarkStart w:id="0" w:name="_GoBack"/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bookmarkEnd w:id="0"/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9B0A6A" w:rsidRPr="009B0A6A">
        <w:rPr>
          <w:b/>
          <w:color w:val="365F91" w:themeColor="accent1" w:themeShade="BF"/>
          <w:sz w:val="28"/>
          <w:szCs w:val="28"/>
        </w:rPr>
        <w:t>gm. Czerwionka Leszczyny z powiatu rybnickiego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9B0A6A" w:rsidRPr="009B0A6A">
        <w:rPr>
          <w:b/>
          <w:sz w:val="26"/>
          <w:szCs w:val="26"/>
        </w:rPr>
        <w:t>155 441,00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55AA7"/>
    <w:rsid w:val="006B0A3F"/>
    <w:rsid w:val="00744874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9A93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2022-12-12T13:04:00Z</dcterms:created>
  <dcterms:modified xsi:type="dcterms:W3CDTF">2022-12-12T13:24:00Z</dcterms:modified>
</cp:coreProperties>
</file>